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A" w:rsidRPr="003E235A" w:rsidRDefault="003E235A" w:rsidP="003E235A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ПАМЯТКА ТУРИСТУ, ВЫЕЗЖАЮЩЕМУ НА ОТДЫХ В КРЫМ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Для того чтобы ваш отпуск был максимально комфортным мы предлагаем вам воспользоваться нашей информацией: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1. Заселение в гостиницу (отель) туристов производится на основании документов, удостоверяющих личность: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для граждан РФ: паспорт, туристический ваучер, санаторно-курортная карта (для желающих пройти лечение),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 — детям до 14 лет — свидетельство о рождении, справка об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эпидокружении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, справка о прививках, туристический ваучер.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для иностранных граждан: загранпаспорт, туристический ваучер.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ВАЖНО!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 Пересечение границы между Украиной и Республикой Крым для граждан России, стран бывшего СНГ и ближнего зарубежья в настоящее время затруднено. Не рекомендуем этот маршрут для посещения Крыма.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2. Заселение в гостиницу (отель)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производится не ранее времени расчетного часа, указанного в туристическом ваучере.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Выезд из отеля осуществляется в день окончания срока тура. В день выезда вы должны освободить номер до наступления расчетного часа, указанного в ваучере.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Пожалуйста, соблюдайте правила проживания в отеле.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Обращаем ваше внимание, что администрация любого средства размещения оставляет за собой право отказать Гостю в предоставлении услуг проживания в отеле (пансионате, санатории) при грубом нарушении гостем правил проживания, а именно: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1. 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Если гость нарушает внутренние правила проживания в гостинице, создавая неудобства для отдыха других гостей отеля.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2.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У гостя неопрятный, грязный внешний вид, он находится в состоянии сильного алкогольного опьянения, неадекватно, агрессивно себя ведёт.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При досрочном выезде по уважительной причине (болезнь, смерть ближайших родственников) вам необходимо написать заявление на имя руководителя объекта размещения с указанием причины досрочного отъезда и получить на руки документы, подтверждающие время фактического пребывания в объекте.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Небольшие чаевые горничным не обязательны, но приятны персоналу.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Напряжение сети в отелях: 220 Вольт.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3. Общая информация для туристов на курорте: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Республика Крым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занимает территорию Крымского полуострова, который имеет площадь 26 тыс. кв. км и омывается водами Чёрного и Азовского моря. Уникальное географическое положение (на равном удалении от экватора и северного полюса) и рельеф сделали Крым музеем под открытым небом.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lastRenderedPageBreak/>
        <w:t>Республика Крым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совместно с г. Севастополь входит в состав Южного федерального округа и состоит из 25 административно-территориальных образований, в том числе из 14 районов.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Столица Крыма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г. Симферополь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(численность населения около 350 000 человек).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Государственные языки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русский, украинский, крымско-татарский.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Национальная валюта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российский рубль.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Время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соответствует московскому.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Религия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христианство, ислам.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4. Местные традиции и обычаи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На территории Крыма на протяжении многих тысячелетий живут представители самых разных национальностей. Самыми многочисленными среди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крымчан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являются русские (более половины), украинцы (24%) и крымские татары, значительна доля белорусов, евреев, армян, греков, немцев, болгар, цыган, поляков. Малочисленны, но по-прежнему заметны в культуре малые народы Крыма — караимы и крымчаки.  Языком межнационального общения продолжает оставаться русский, большинство населения Крыма считает его родным.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Традиции ислама в жизни крымских татар не столь заметны, и во всяком случае не создают проблем для других.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Многонациональный колорит Крыма сказался на особенностях национальной кухни, разнообразии архитектурных памятников и достопримечательностей.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5. Меры предосторожности и правила поведения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— Не забывайте о том, что длительное нахождение на солнце в жаркое время года может быть вредным и опасным. Находясь на отдыхе, предохраняйте кожу от вредного воздействия ультрафиолетового излучения и не допускайте перегрева детей, особенно в первые дни пребывания на курорте. Загорать лучше до 11 часов утра или после 18 часов </w:t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вечера.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Тщательно мойте овощи и фрукты. Не употребляйте в пищу мясные блюда, не подвергшиеся достаточной термальной обработке. Если Вы питаетесь в ресторане, учитывайте, что национальная кухня может быть острой и </w:t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жирной.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С особой осторожностью покупайте алкогольные напитки не заводского производства у частных лиц, поскольку они могут быть низкого качества и нанести вред здоровью. Просим Вас соблюдать умеренность в употреблении спиртного. Недопустимо купаться, в море и в бассейне в состоянии алкогольного опьянения.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ВАЖНО!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 Не оставляйте свои вещи без присмотра в общественных местах: на пляже, в кафе и т.д. Не носите при себе обратные билеты и все деньги, оставляйте их в отеле (в сейфе номера или на службе приёма и размещения), взяв с собой только необходимую сумму.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Если Вы заболели в </w:t>
      </w:r>
      <w:proofErr w:type="gramStart"/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путешествии: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О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случае заболевания или травмы необходимо незамедлительно известить администратора отеля.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Вам помогут оформить вызов врача, либо обратиться в городскую больницу.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Для оказания медицинской помощи при себе должен быть полис обязательного медицинского страхования.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Первую помощь вам окажут бесплатно, дальнейшее лечение оплачивается, если вы не имеете полис ОМС.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lastRenderedPageBreak/>
        <w:t xml:space="preserve">Что делать при наступлении страхового случая, если Вы оформили международную медицинскую </w:t>
      </w:r>
      <w:proofErr w:type="gramStart"/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страховку: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При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наступлении страхового случая (при нахождении в поездке) Позвоните в Сервисный центр Акционерного общества «ЕРВ Туристическое Страхование» (лицензия ЦБ CЛ № 4009) по телефону (+7 (495) 644–43–45; +(420) 221–860–620, круглосуточно)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будьте готовы сообщить следующую информацию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Фамилия, имя.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Номер страхового полиса или номер информации по страхованию.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Местонахождение и контактный телефон.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Обстоятельства, при которых наступил страховой случай.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Какая помощь требуется.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gramStart"/>
      <w:r w:rsidRPr="003E235A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Важно!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Строго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следуйте рекомендациям сотрудников Сервисного центра.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7. Важные телефоны и связь (о сотовой связи, и телефоны экстренной связи)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Телефоны для экстренной </w:t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связи: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+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7 (926) 248–03–46 телефон поддержки туристов ТО «Дельфин»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+7 (978) 098–46–57 по вопросам трансфера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+7 (3652) 54–35–35 отдел оперативного реагирования «КРЫМ-СПАС»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112 Единый номер вызова экстренных оперативных служб</w:t>
      </w:r>
    </w:p>
    <w:p w:rsidR="003E235A" w:rsidRPr="003E235A" w:rsidRDefault="003E235A" w:rsidP="003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В настоящее время в Крыму работают абсолютно все российские мобильные операторы. Работают в обычном федеральном роуминге и по тарифам вашего оператора. В Республике Крым работает местный оператор WIN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mobile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  <w:hyperlink r:id="rId5" w:history="1">
        <w:r w:rsidRPr="003E235A">
          <w:rPr>
            <w:rFonts w:ascii="Arial" w:eastAsia="Times New Roman" w:hAnsi="Arial" w:cs="Arial"/>
            <w:color w:val="4880B5"/>
            <w:sz w:val="23"/>
            <w:szCs w:val="23"/>
            <w:u w:val="single"/>
            <w:lang w:eastAsia="ru-RU"/>
          </w:rPr>
          <w:t>http://mobile-win.ru/</w:t>
        </w:r>
      </w:hyperlink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 Код оператора +7(978). На данный момент услуги WIN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mobile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 стандарте GSM 900/1800 доступны на всей территории Республики Крым.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8. Участникам экскурсионных туров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Экскурсии по Крыму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— это прекрасная возможность познакомиться с богатой историей, культурой и природой Крыма. Если </w:t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вы  —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не участник экскурсионного тура компании «Дельфин», рекомендуем воспользоваться услугами экскурсионного бюро Вашего отеля.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Если вы самостоятельно отправляетесь в поход/путешествие по горнолесной зоне рекомендуем регистрироваться в аварийно-спасательных отрядах ГКУ РК «Крымская республиканская аварийно-спасательная служба „КРЫМ-СПАС“». Вас ознакомят с необходимой и достоверной информацией о потенциальных опасностях на маршруте, поделятся информацией о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гидро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- и метеоусловиях, сложившихся в районе предполагаемых маршрутов, проконсультируют о безопасном прохождении, разъяснят правила личной и групповой безопасности на маршрутах, помогут проверить личное снаряжение, средства связи, маршрутные документы.</w:t>
      </w:r>
    </w:p>
    <w:p w:rsidR="003E235A" w:rsidRPr="003E235A" w:rsidRDefault="003E235A" w:rsidP="003E23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9. В Крым на машине. Автотуризм.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Попасть в Крым на автомобиле вы можете по Крымскому мосту через Керченский пролив.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АЗС (автозаправочные станции) в Крыму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Автозаправочная сеть на полуострове зависит от географии курортных регионов. Самая плотная сеть заправок на трассе Симферополь–Алушта–Ялта– Севастополь. На этой главной крымской трассе автозаправки выше уровнем и качеством бензина. 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lastRenderedPageBreak/>
        <w:t>На трассах Симферополь–Феодосия и Симферополь–Севастополь также достаточно автозаправок, но наибольшая их концентрация достигает в пределах городов Бахчисарай, Севастополь, Судак и Феодосия. Достаточно плотно представлены заправки на промежутке Симферополь–Евпатория. Дальше от Евпатории до крайнего западного курортного посёлка Черноморского на расстоянии 72 км заправок нет.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На промежутке между Феодосией и Керчью заправок, как и населенных пунктов очень мало. Также путешественнику нужно помнить, что на трассе Алушта–Судак, протяженность которой 93 км, заправок нет вообще! Эта дорога представляет собой сплошной узкий серпантин, и бензовозы здесь просто не могут проехать. Очень мало заправок на промежутке трассы Бахчисарай–Ялта (79 км), проходящей через Главный хребет Крымских гор и массив Ай-Петри.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Самая обширная и наиболее солидная крымская сеть автозаправок — ATAN, вторая по масштабности — корпорация «ТЭС».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Парковки в Крыму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Парковки возле достопримечательностей Крыма, как правило, платные.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Паркоматы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пока являются редкостью. Поэтому деньги за парковку берут наличные. Чтобы не попасть на мошенников, требуйте разрешительные документы на право аренды, чек об оплате. При этом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парковщики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все равно не отвечают за сохранность авто и вещей в нем. Средняя стоимость парковки в Крыму 50 руб. в час. Стоимость парковки в аэропорту 200 руб. в час, но первые 15 минут бесплатно.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Безопасность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Практически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все крымские дороги, по которым путешествуют туристы, расположены в горной зоне полуострова. Из точки прибытия в Крым — аэропорта Симферополя, или из порта Керчь — вы поедете по одному из трех курортных направлений: на Южный берег Крыма через Алушту и Ялту, на запад полуострова в окрестности Севастополя через Бахчисарай, или на восток через Белогорск к курортам Судака и Феодосии. Все эти дороги проходят через Крымские горы. А любая горная трасса — это территория повышенной опасности. Будьте бдительны и аккуратны!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 xml:space="preserve">Важные </w:t>
      </w:r>
      <w:proofErr w:type="gramStart"/>
      <w:r w:rsidRPr="003E235A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телефоны: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Крым</w:t>
      </w:r>
      <w:proofErr w:type="gramEnd"/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По всем возникающим вопросам вы всегда можете обратиться в представительство туроператора «Дельфин» на курорте: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Директор: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Коваленко Иван Михайлович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+7 (3652) 620–200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proofErr w:type="spellStart"/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Трансферный</w:t>
      </w:r>
      <w:proofErr w:type="spellEnd"/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менеджер: 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Шевченко Елена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+7 (978) 098–46–57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3E235A" w:rsidRPr="003E235A" w:rsidRDefault="003E235A" w:rsidP="003E235A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Документы в поездку для граждан РФ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Основной перечень документов: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Туристический ваучер-путевка, паспорт (общегражданский), для детей до 14 лет — свидетельство о рождении.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lastRenderedPageBreak/>
        <w:t xml:space="preserve">Для получения санаторно-курортного лечения — санаторно-курортная карта, для детей до 16 лет – справка о состоянии здоровья, прививках и </w:t>
      </w:r>
      <w:proofErr w:type="spell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эпид</w:t>
      </w:r>
      <w:proofErr w:type="spell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окружении. Если отдыхающие прибывают в здравницу без санаторно-курортной карты врачи, как правило, отказывают в предоставлении специализированных медицинских процедур.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Перечень документов, необходимых для посещения Калининградской области, приграничных районов страны, а также для активных туров может отличаться от основного перечня.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Смотрите раздел "Документы" в описании тарифа отеля или тура.</w:t>
      </w:r>
    </w:p>
    <w:p w:rsidR="003E235A" w:rsidRPr="003E235A" w:rsidRDefault="003E235A" w:rsidP="003E235A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3E235A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Документы в поездку для иностранных граждан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• Туристический ваучер-путевка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• Заграничный паспорт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• Миграционная карта (по которой не истек срок пребывания на территории </w:t>
      </w:r>
      <w:proofErr w:type="gramStart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РФ)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•</w:t>
      </w:r>
      <w:proofErr w:type="gramEnd"/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Виза (если требуется)</w:t>
      </w:r>
    </w:p>
    <w:p w:rsidR="003E235A" w:rsidRDefault="003E235A" w:rsidP="003E235A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</w:p>
    <w:p w:rsidR="003E235A" w:rsidRPr="003E235A" w:rsidRDefault="003E235A" w:rsidP="003E235A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bookmarkStart w:id="0" w:name="_GoBack"/>
      <w:bookmarkEnd w:id="0"/>
      <w:r w:rsidRPr="003E235A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Курортный сбор</w:t>
      </w:r>
    </w:p>
    <w:p w:rsidR="003E235A" w:rsidRPr="003E235A" w:rsidRDefault="003E235A" w:rsidP="003E235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От уплаты курортного сбора освобождаются: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1) лица, удостоенные званий Героя Советского Союза, Героя Российской Федерации или являющиеся полными кавалерами ордена Славы;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3) участники Великой Отечественной войны;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4) ветераны боевых действий из числа лиц, указанных в подпунктах 1 — 4 пункта 1 статьи 3 Федерального закона от 12 января 1995 года N 5-ФЗ "О ветеранах";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5) лица, награжденные знаком "Жителю блокадного Ленинграда";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7) инвалиды войны;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10) инвалиды I и II групп;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12) малоимущие семьи, малоимущие одиноко проживающие граждане и иные категории граждан, предусмотренные Федеральным законом от 17 июля 1999 года N 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lastRenderedPageBreak/>
        <w:t>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14) больные туберкулезом;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16) лица, постоянно работающие на территории эксперимента на основании трудового договора или служебного контракта;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17) лица, имеющие место жительства на территории эксперимента;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3E235A" w:rsidRPr="003E235A" w:rsidRDefault="003E235A" w:rsidP="003E2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образований. </w:t>
      </w:r>
      <w:r w:rsidRPr="003E235A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также может осуществляться на основании письменного заявления сопровождаемого лица или его законного представителя.</w:t>
      </w:r>
      <w:r w:rsidRPr="003E235A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(Федеральный закон "О проведении эксперимента по развитию курортной инфраструктуры в Республике Крым, Алтайском крае, Краснодарском крае и Ставропольском крае" от 29.07.2017 N 214-ФЗ).</w:t>
      </w:r>
    </w:p>
    <w:p w:rsidR="00212A65" w:rsidRDefault="00212A65"/>
    <w:sectPr w:rsidR="0021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thon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57A"/>
    <w:multiLevelType w:val="multilevel"/>
    <w:tmpl w:val="3DB4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44507"/>
    <w:multiLevelType w:val="multilevel"/>
    <w:tmpl w:val="ABE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5"/>
    <w:rsid w:val="00151735"/>
    <w:rsid w:val="00212A65"/>
    <w:rsid w:val="003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1FAE-192C-4AF1-B069-EDE94E7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235A"/>
    <w:rPr>
      <w:b/>
      <w:bCs/>
    </w:rPr>
  </w:style>
  <w:style w:type="paragraph" w:styleId="a4">
    <w:name w:val="Normal (Web)"/>
    <w:basedOn w:val="a"/>
    <w:uiPriority w:val="99"/>
    <w:semiHidden/>
    <w:unhideWhenUsed/>
    <w:rsid w:val="003E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883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066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651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591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799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79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983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-w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2207</Words>
  <Characters>12583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2020-04-24T15:25:00Z</dcterms:created>
  <dcterms:modified xsi:type="dcterms:W3CDTF">2020-04-24T15:27:00Z</dcterms:modified>
</cp:coreProperties>
</file>